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98" w:rsidRPr="00672AB2" w:rsidRDefault="00246998" w:rsidP="00246998">
      <w:pPr>
        <w:rPr>
          <w:rFonts w:ascii="Arial" w:hAnsi="Arial" w:cs="Arial"/>
          <w:bCs/>
          <w:sz w:val="36"/>
          <w:szCs w:val="36"/>
        </w:rPr>
      </w:pPr>
      <w:bookmarkStart w:id="0" w:name="_GoBack"/>
      <w:bookmarkEnd w:id="0"/>
      <w:r w:rsidRPr="00672AB2">
        <w:rPr>
          <w:rFonts w:ascii="Arial" w:hAnsi="Arial" w:cs="Arial"/>
          <w:bCs/>
          <w:sz w:val="36"/>
          <w:szCs w:val="36"/>
        </w:rPr>
        <w:t>Neglect</w:t>
      </w:r>
    </w:p>
    <w:p w:rsidR="00246998" w:rsidRPr="00672AB2" w:rsidRDefault="00246998" w:rsidP="00246998">
      <w:pPr>
        <w:rPr>
          <w:rFonts w:ascii="Arial" w:hAnsi="Arial" w:cs="Arial"/>
          <w:sz w:val="24"/>
          <w:szCs w:val="24"/>
        </w:rPr>
      </w:pPr>
      <w:r w:rsidRPr="00672AB2">
        <w:rPr>
          <w:rFonts w:ascii="Arial" w:hAnsi="Arial" w:cs="Arial"/>
          <w:sz w:val="24"/>
          <w:szCs w:val="24"/>
        </w:rPr>
        <w:t>Child neglect is the most frequently reported category of abuse, both in Ireland and internationally. Ongoing chronic neglect is recognised as being extremely harmful to the development and well-being of the child and may have serious long-term negative consequences.</w:t>
      </w:r>
    </w:p>
    <w:p w:rsidR="00246998" w:rsidRPr="00672AB2" w:rsidRDefault="00246998" w:rsidP="00246998">
      <w:pPr>
        <w:rPr>
          <w:rFonts w:ascii="Arial" w:hAnsi="Arial" w:cs="Arial"/>
          <w:sz w:val="24"/>
          <w:szCs w:val="24"/>
        </w:rPr>
      </w:pPr>
      <w:r w:rsidRPr="00672AB2">
        <w:rPr>
          <w:rFonts w:ascii="Arial" w:hAnsi="Arial" w:cs="Arial"/>
          <w:sz w:val="24"/>
          <w:szCs w:val="24"/>
        </w:rPr>
        <w:t>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 Emotional neglect may also lead to the child having attachment difficulties. The extent of the damage to the child’s health, development or welfare is influenced by a range of factors. These factors include the extent, if any, of positive influence in the child’s life as well as the age of the child and the frequency and consistency of neglect.</w:t>
      </w:r>
    </w:p>
    <w:p w:rsidR="00246998" w:rsidRPr="00672AB2" w:rsidRDefault="00246998" w:rsidP="00246998">
      <w:pPr>
        <w:rPr>
          <w:rFonts w:ascii="Arial" w:hAnsi="Arial" w:cs="Arial"/>
          <w:sz w:val="24"/>
          <w:szCs w:val="24"/>
        </w:rPr>
      </w:pPr>
      <w:r w:rsidRPr="00672AB2">
        <w:rPr>
          <w:rFonts w:ascii="Arial" w:hAnsi="Arial" w:cs="Arial"/>
          <w:sz w:val="24"/>
          <w:szCs w:val="24"/>
        </w:rPr>
        <w:t>Neglect is associated with poverty but not necessarily caused by it. It is strongly linked to parental substance misuse, domestic violence, and parental mental illness and disability.</w:t>
      </w:r>
    </w:p>
    <w:p w:rsidR="00246998" w:rsidRPr="00672AB2" w:rsidRDefault="00246998" w:rsidP="00246998">
      <w:pPr>
        <w:rPr>
          <w:rFonts w:ascii="Arial" w:hAnsi="Arial" w:cs="Arial"/>
          <w:sz w:val="24"/>
          <w:szCs w:val="24"/>
        </w:rPr>
      </w:pPr>
      <w:r w:rsidRPr="00672AB2">
        <w:rPr>
          <w:rFonts w:ascii="Arial" w:hAnsi="Arial" w:cs="Arial"/>
          <w:sz w:val="24"/>
          <w:szCs w:val="24"/>
        </w:rPr>
        <w:t>A reasonable concern for the child’s welfare would exist when neglect becomes typical of the relationship between the child and the parent or carer. This may become apparent where you see the child over a period of time, or the effects of neglect may be obvious based on having seen the child once.</w:t>
      </w:r>
    </w:p>
    <w:p w:rsidR="00246998" w:rsidRPr="00672AB2" w:rsidRDefault="00246998" w:rsidP="00246998">
      <w:pPr>
        <w:rPr>
          <w:rFonts w:ascii="Arial" w:hAnsi="Arial" w:cs="Arial"/>
          <w:sz w:val="24"/>
          <w:szCs w:val="24"/>
        </w:rPr>
      </w:pPr>
      <w:r w:rsidRPr="00672AB2">
        <w:rPr>
          <w:rFonts w:ascii="Arial" w:hAnsi="Arial" w:cs="Arial"/>
          <w:sz w:val="24"/>
          <w:szCs w:val="24"/>
        </w:rPr>
        <w:t>The following are features of child neglect:</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Children being left alone without adequate care and supervision</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Malnourishment, lacking food, unsuitable food or erratic feeding</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Non-organic failure to thrive, i.e. a child not gaining weight due not only to malnutrition but also emotional deprivation</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Failure to provide adequate care for the child’s medical and developmental needs, including intellectual stimulation</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Inadequate living conditions – unhygienic conditions, environmental issues, including lack of adequate heating and furniture</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Lack of adequate clothing</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Inattention to basic hygiene</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Lack of protection and exposure to danger, including moral danger, or lack of supervision appropriate to the child’s age</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Persistent failure to attend school</w:t>
      </w:r>
    </w:p>
    <w:p w:rsidR="00246998" w:rsidRPr="00672AB2" w:rsidRDefault="00246998" w:rsidP="00246998">
      <w:pPr>
        <w:numPr>
          <w:ilvl w:val="0"/>
          <w:numId w:val="1"/>
        </w:numPr>
        <w:rPr>
          <w:rFonts w:ascii="Arial" w:hAnsi="Arial" w:cs="Arial"/>
          <w:sz w:val="24"/>
          <w:szCs w:val="24"/>
        </w:rPr>
      </w:pPr>
      <w:r w:rsidRPr="00672AB2">
        <w:rPr>
          <w:rFonts w:ascii="Arial" w:hAnsi="Arial" w:cs="Arial"/>
          <w:sz w:val="24"/>
          <w:szCs w:val="24"/>
        </w:rPr>
        <w:t>Abandonment or desertion</w:t>
      </w:r>
    </w:p>
    <w:p w:rsidR="00012BE0" w:rsidRDefault="00012BE0" w:rsidP="00246998">
      <w:pPr>
        <w:shd w:val="clear" w:color="auto" w:fill="FFFFFF"/>
        <w:spacing w:after="225" w:line="320" w:lineRule="atLeast"/>
        <w:outlineLvl w:val="2"/>
        <w:rPr>
          <w:rFonts w:ascii="Arial" w:eastAsia="Times New Roman" w:hAnsi="Arial" w:cs="Arial"/>
          <w:b/>
          <w:bCs/>
          <w:spacing w:val="-15"/>
          <w:sz w:val="36"/>
          <w:szCs w:val="36"/>
          <w:lang w:eastAsia="en-IE"/>
        </w:rPr>
      </w:pPr>
    </w:p>
    <w:p w:rsidR="00246998" w:rsidRPr="00246998" w:rsidRDefault="00246998" w:rsidP="00246998">
      <w:pPr>
        <w:shd w:val="clear" w:color="auto" w:fill="FFFFFF"/>
        <w:spacing w:after="225" w:line="320" w:lineRule="atLeast"/>
        <w:outlineLvl w:val="2"/>
        <w:rPr>
          <w:rFonts w:ascii="Arial" w:eastAsia="Times New Roman" w:hAnsi="Arial" w:cs="Arial"/>
          <w:b/>
          <w:bCs/>
          <w:spacing w:val="-15"/>
          <w:sz w:val="36"/>
          <w:szCs w:val="36"/>
          <w:lang w:eastAsia="en-IE"/>
        </w:rPr>
      </w:pPr>
      <w:r w:rsidRPr="00246998">
        <w:rPr>
          <w:rFonts w:ascii="Arial" w:eastAsia="Times New Roman" w:hAnsi="Arial" w:cs="Arial"/>
          <w:b/>
          <w:bCs/>
          <w:spacing w:val="-15"/>
          <w:sz w:val="36"/>
          <w:szCs w:val="36"/>
          <w:lang w:eastAsia="en-IE"/>
        </w:rPr>
        <w:lastRenderedPageBreak/>
        <w:t>Emotional abuse</w:t>
      </w:r>
    </w:p>
    <w:p w:rsidR="00246998" w:rsidRPr="00246998" w:rsidRDefault="00246998" w:rsidP="00246998">
      <w:pPr>
        <w:shd w:val="clear" w:color="auto" w:fill="FFFFFF"/>
        <w:spacing w:after="300" w:line="352" w:lineRule="atLeast"/>
        <w:rPr>
          <w:rFonts w:ascii="Arial" w:eastAsia="Times New Roman" w:hAnsi="Arial" w:cs="Arial"/>
          <w:sz w:val="24"/>
          <w:szCs w:val="24"/>
          <w:lang w:eastAsia="en-IE"/>
        </w:rPr>
      </w:pPr>
      <w:r w:rsidRPr="00246998">
        <w:rPr>
          <w:rFonts w:ascii="Arial" w:eastAsia="Times New Roman" w:hAnsi="Arial" w:cs="Arial"/>
          <w:sz w:val="24"/>
          <w:szCs w:val="24"/>
          <w:lang w:eastAsia="en-IE"/>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child’s basic need for attention, affection, approval, consistency and security are not met, due to incapacity or indifference from their parent or caregiver. Emotional abuse can also occur when adults responsible for taking care of children are unaware of and unable (for a range of reasons) to meet their children’s emotional and developmental needs. Emotional abuse is not easy to recognise because the effects are not easily seen.</w:t>
      </w:r>
    </w:p>
    <w:p w:rsidR="00246998" w:rsidRPr="00246998" w:rsidRDefault="00246998" w:rsidP="00246998">
      <w:pPr>
        <w:shd w:val="clear" w:color="auto" w:fill="FFFFFF"/>
        <w:spacing w:after="300" w:line="352" w:lineRule="atLeast"/>
        <w:rPr>
          <w:rFonts w:ascii="Arial" w:eastAsia="Times New Roman" w:hAnsi="Arial" w:cs="Arial"/>
          <w:sz w:val="24"/>
          <w:szCs w:val="24"/>
          <w:lang w:eastAsia="en-IE"/>
        </w:rPr>
      </w:pPr>
      <w:r w:rsidRPr="00246998">
        <w:rPr>
          <w:rFonts w:ascii="Arial" w:eastAsia="Times New Roman" w:hAnsi="Arial" w:cs="Arial"/>
          <w:sz w:val="24"/>
          <w:szCs w:val="24"/>
          <w:lang w:eastAsia="en-IE"/>
        </w:rPr>
        <w:t>A reasonable concern for the child’s welfare would exist when the behaviour becomes typical of the relationship between the child and the parent or carer.</w:t>
      </w:r>
    </w:p>
    <w:p w:rsidR="00246998" w:rsidRPr="00246998" w:rsidRDefault="00246998" w:rsidP="00246998">
      <w:pPr>
        <w:shd w:val="clear" w:color="auto" w:fill="FFFFFF"/>
        <w:spacing w:after="300" w:line="352" w:lineRule="atLeast"/>
        <w:rPr>
          <w:rFonts w:ascii="Arial" w:eastAsia="Times New Roman" w:hAnsi="Arial" w:cs="Arial"/>
          <w:sz w:val="24"/>
          <w:szCs w:val="24"/>
          <w:lang w:eastAsia="en-IE"/>
        </w:rPr>
      </w:pPr>
      <w:r w:rsidRPr="00246998">
        <w:rPr>
          <w:rFonts w:ascii="Arial" w:eastAsia="Times New Roman" w:hAnsi="Arial" w:cs="Arial"/>
          <w:sz w:val="24"/>
          <w:szCs w:val="24"/>
          <w:lang w:eastAsia="en-IE"/>
        </w:rPr>
        <w:t>Emotional abuse may be seen in some of the following ways:</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Rejection</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Lack of comfort and love</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Lack of attachment</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Lack of proper stimulation (e.g. fun and play)</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Lack of continuity of care (e.g. frequent moves, particularly unplanned)</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Continuous lack of praise and encouragement</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Persistent criticism, sarcasm, hostility or blaming of the child</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Bullying</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Conditional parenting in which care or affection of a child depends on his or her behaviours or actions</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Extreme overprotectiveness</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Inappropriate non-physical punishment (e.g. locking child in bedroom)</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Ongoing family conflicts and family violence</w:t>
      </w:r>
    </w:p>
    <w:p w:rsidR="00246998" w:rsidRPr="00246998" w:rsidRDefault="00246998" w:rsidP="00246998">
      <w:pPr>
        <w:numPr>
          <w:ilvl w:val="0"/>
          <w:numId w:val="2"/>
        </w:numPr>
        <w:shd w:val="clear" w:color="auto" w:fill="FFFFFF"/>
        <w:spacing w:before="100" w:beforeAutospacing="1" w:after="75" w:line="352" w:lineRule="atLeast"/>
        <w:ind w:left="0"/>
        <w:rPr>
          <w:rFonts w:ascii="Arial" w:eastAsia="Times New Roman" w:hAnsi="Arial" w:cs="Arial"/>
          <w:sz w:val="24"/>
          <w:szCs w:val="24"/>
          <w:lang w:eastAsia="en-IE"/>
        </w:rPr>
      </w:pPr>
      <w:r w:rsidRPr="00246998">
        <w:rPr>
          <w:rFonts w:ascii="Arial" w:eastAsia="Times New Roman" w:hAnsi="Arial" w:cs="Arial"/>
          <w:sz w:val="24"/>
          <w:szCs w:val="24"/>
          <w:lang w:eastAsia="en-IE"/>
        </w:rPr>
        <w:t>Seriously inappropriate expectations of a child relative to his/her age and stage of development</w:t>
      </w:r>
    </w:p>
    <w:p w:rsidR="00246998" w:rsidRPr="00246998" w:rsidRDefault="00246998" w:rsidP="00246998">
      <w:pPr>
        <w:shd w:val="clear" w:color="auto" w:fill="FFFFFF"/>
        <w:spacing w:after="300" w:line="352" w:lineRule="atLeast"/>
        <w:rPr>
          <w:rFonts w:ascii="Arial" w:eastAsia="Times New Roman" w:hAnsi="Arial" w:cs="Arial"/>
          <w:sz w:val="24"/>
          <w:szCs w:val="24"/>
          <w:lang w:eastAsia="en-IE"/>
        </w:rPr>
      </w:pPr>
      <w:r w:rsidRPr="00246998">
        <w:rPr>
          <w:rFonts w:ascii="Arial" w:eastAsia="Times New Roman" w:hAnsi="Arial" w:cs="Arial"/>
          <w:sz w:val="24"/>
          <w:szCs w:val="24"/>
          <w:lang w:eastAsia="en-IE"/>
        </w:rPr>
        <w:t>There may be 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w:t>
      </w:r>
    </w:p>
    <w:p w:rsidR="0072204B" w:rsidRPr="00B001C4" w:rsidRDefault="00246998" w:rsidP="00246998">
      <w:pPr>
        <w:shd w:val="clear" w:color="auto" w:fill="FFFFFF"/>
        <w:spacing w:after="300" w:line="352" w:lineRule="atLeast"/>
        <w:rPr>
          <w:rFonts w:ascii="Arial" w:eastAsia="Times New Roman" w:hAnsi="Arial" w:cs="Arial"/>
          <w:sz w:val="24"/>
          <w:szCs w:val="24"/>
          <w:lang w:eastAsia="en-IE"/>
        </w:rPr>
      </w:pPr>
      <w:r w:rsidRPr="00246998">
        <w:rPr>
          <w:rFonts w:ascii="Arial" w:eastAsia="Times New Roman" w:hAnsi="Arial" w:cs="Arial"/>
          <w:sz w:val="24"/>
          <w:szCs w:val="24"/>
          <w:lang w:eastAsia="en-IE"/>
        </w:rPr>
        <w:lastRenderedPageBreak/>
        <w:t xml:space="preserve">It should be noted that no one indicator is conclusive evidence of emotional abuse. Emotional abuse is more likely to impact negatively on a child where it is persistent over time and where </w:t>
      </w:r>
      <w:r w:rsidR="0072204B" w:rsidRPr="00246998">
        <w:rPr>
          <w:rFonts w:ascii="Arial" w:eastAsia="Times New Roman" w:hAnsi="Arial" w:cs="Arial"/>
          <w:sz w:val="24"/>
          <w:szCs w:val="24"/>
          <w:lang w:eastAsia="en-IE"/>
        </w:rPr>
        <w:t>there is a lack of other protective factors</w:t>
      </w:r>
    </w:p>
    <w:p w:rsidR="0072204B" w:rsidRPr="00672AB2" w:rsidRDefault="0072204B" w:rsidP="0072204B">
      <w:pPr>
        <w:pStyle w:val="Heading3"/>
        <w:shd w:val="clear" w:color="auto" w:fill="FFFFFF"/>
        <w:spacing w:before="0" w:beforeAutospacing="0" w:after="225" w:afterAutospacing="0" w:line="320" w:lineRule="atLeast"/>
        <w:rPr>
          <w:rFonts w:asciiTheme="minorHAnsi" w:hAnsiTheme="minorHAnsi" w:cstheme="minorHAnsi"/>
          <w:spacing w:val="-15"/>
          <w:sz w:val="36"/>
          <w:szCs w:val="36"/>
        </w:rPr>
      </w:pPr>
      <w:r w:rsidRPr="00672AB2">
        <w:rPr>
          <w:rFonts w:asciiTheme="minorHAnsi" w:hAnsiTheme="minorHAnsi" w:cstheme="minorHAnsi"/>
          <w:spacing w:val="-15"/>
          <w:sz w:val="36"/>
          <w:szCs w:val="36"/>
        </w:rPr>
        <w:t>Physical abuse</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Physical abuse can include the following:</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Physical punishment</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Beating, slapping, hitting or kicking</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Pushing, shaking or throwing</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Pinching, biting, choking or hair-pulling</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Use of excessive force in handling</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Deliberate poisoning</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Suffocation</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 xml:space="preserve"> Fabricated/induced illness</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w:t>
      </w:r>
      <w:r w:rsidRPr="00672AB2">
        <w:rPr>
          <w:rFonts w:ascii="Arial" w:eastAsia="Times New Roman" w:hAnsi="Arial" w:cs="Arial"/>
          <w:sz w:val="24"/>
          <w:szCs w:val="24"/>
          <w:lang w:eastAsia="en-IE"/>
        </w:rPr>
        <w:tab/>
        <w:t>Female genital mutilation</w:t>
      </w:r>
    </w:p>
    <w:p w:rsidR="00246998" w:rsidRPr="00672AB2" w:rsidRDefault="00246998" w:rsidP="00246998">
      <w:pPr>
        <w:shd w:val="clear" w:color="auto" w:fill="FFFFFF"/>
        <w:spacing w:after="300" w:line="352" w:lineRule="atLeast"/>
        <w:rPr>
          <w:rFonts w:ascii="Arial" w:eastAsia="Times New Roman" w:hAnsi="Arial" w:cs="Arial"/>
          <w:sz w:val="24"/>
          <w:szCs w:val="24"/>
          <w:lang w:eastAsia="en-IE"/>
        </w:rPr>
      </w:pPr>
      <w:r w:rsidRPr="00672AB2">
        <w:rPr>
          <w:rFonts w:ascii="Arial" w:eastAsia="Times New Roman" w:hAnsi="Arial" w:cs="Arial"/>
          <w:sz w:val="24"/>
          <w:szCs w:val="24"/>
          <w:lang w:eastAsia="en-IE"/>
        </w:rPr>
        <w:t>The Children First Act 2015 includes a provision that abolishes the common law defence of reasonable chastisement in court proceedings. This defence could previously be invoked by a parent or other person in authority who physically disciplined a child. The change in the legislation now means that in prosecutions relating to assault or physical cruelty, a person who administers such punishment to a child cannot rely on the defence of reasonable chastisement in the legal proceedings. The result of this is that the protections in law relating to assault now apply to a child in the same way as they do to an adult.</w:t>
      </w:r>
    </w:p>
    <w:p w:rsidR="00012BE0" w:rsidRDefault="00012BE0" w:rsidP="0072204B">
      <w:pPr>
        <w:shd w:val="clear" w:color="auto" w:fill="FFFFFF"/>
        <w:spacing w:after="225" w:line="320" w:lineRule="atLeast"/>
        <w:outlineLvl w:val="2"/>
        <w:rPr>
          <w:rFonts w:eastAsia="Times New Roman" w:cstheme="minorHAnsi"/>
          <w:b/>
          <w:bCs/>
          <w:spacing w:val="-15"/>
          <w:sz w:val="36"/>
          <w:szCs w:val="36"/>
          <w:lang w:eastAsia="en-IE"/>
        </w:rPr>
      </w:pPr>
    </w:p>
    <w:p w:rsidR="0072204B" w:rsidRPr="0072204B" w:rsidRDefault="0072204B" w:rsidP="0072204B">
      <w:pPr>
        <w:shd w:val="clear" w:color="auto" w:fill="FFFFFF"/>
        <w:spacing w:after="225" w:line="320" w:lineRule="atLeast"/>
        <w:outlineLvl w:val="2"/>
        <w:rPr>
          <w:rFonts w:eastAsia="Times New Roman" w:cstheme="minorHAnsi"/>
          <w:b/>
          <w:bCs/>
          <w:spacing w:val="-15"/>
          <w:sz w:val="36"/>
          <w:szCs w:val="36"/>
          <w:lang w:eastAsia="en-IE"/>
        </w:rPr>
      </w:pPr>
      <w:r w:rsidRPr="0072204B">
        <w:rPr>
          <w:rFonts w:eastAsia="Times New Roman" w:cstheme="minorHAnsi"/>
          <w:b/>
          <w:bCs/>
          <w:spacing w:val="-15"/>
          <w:sz w:val="36"/>
          <w:szCs w:val="36"/>
          <w:lang w:eastAsia="en-IE"/>
        </w:rPr>
        <w:lastRenderedPageBreak/>
        <w:t>Sexual abuse</w:t>
      </w:r>
    </w:p>
    <w:p w:rsidR="0072204B" w:rsidRPr="0072204B" w:rsidRDefault="0072204B" w:rsidP="0072204B">
      <w:pPr>
        <w:shd w:val="clear" w:color="auto" w:fill="FFFFFF"/>
        <w:spacing w:after="300" w:line="352" w:lineRule="atLeast"/>
        <w:rPr>
          <w:rFonts w:ascii="Arial" w:eastAsia="Times New Roman" w:hAnsi="Arial" w:cs="Arial"/>
          <w:sz w:val="24"/>
          <w:szCs w:val="24"/>
          <w:lang w:eastAsia="en-IE"/>
        </w:rPr>
      </w:pPr>
      <w:r w:rsidRPr="0072204B">
        <w:rPr>
          <w:rFonts w:ascii="Arial" w:eastAsia="Times New Roman" w:hAnsi="Arial" w:cs="Arial"/>
          <w:sz w:val="24"/>
          <w:szCs w:val="24"/>
          <w:lang w:eastAsia="en-IE"/>
        </w:rPr>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rsidR="0072204B" w:rsidRPr="0072204B" w:rsidRDefault="0072204B" w:rsidP="0072204B">
      <w:pPr>
        <w:shd w:val="clear" w:color="auto" w:fill="FFFFFF"/>
        <w:spacing w:after="300" w:line="352" w:lineRule="atLeast"/>
        <w:rPr>
          <w:rFonts w:ascii="Arial" w:eastAsia="Times New Roman" w:hAnsi="Arial" w:cs="Arial"/>
          <w:sz w:val="24"/>
          <w:szCs w:val="24"/>
          <w:lang w:eastAsia="en-IE"/>
        </w:rPr>
      </w:pPr>
      <w:r w:rsidRPr="0072204B">
        <w:rPr>
          <w:rFonts w:ascii="Arial" w:eastAsia="Times New Roman" w:hAnsi="Arial" w:cs="Arial"/>
          <w:sz w:val="24"/>
          <w:szCs w:val="24"/>
          <w:lang w:eastAsia="en-IE"/>
        </w:rPr>
        <w:t>Child sexual abuse may cover a wide spectrum of abusive activities. It rarely involves just a single incident and in some instances occurs over a number of years. Child sexual abuse most commonly happens within the family, including older siblings and extended family members.</w:t>
      </w:r>
    </w:p>
    <w:p w:rsidR="0072204B" w:rsidRPr="0072204B" w:rsidRDefault="0072204B" w:rsidP="0072204B">
      <w:pPr>
        <w:shd w:val="clear" w:color="auto" w:fill="FFFFFF"/>
        <w:spacing w:after="300" w:line="352" w:lineRule="atLeast"/>
        <w:rPr>
          <w:rFonts w:ascii="Arial" w:eastAsia="Times New Roman" w:hAnsi="Arial" w:cs="Arial"/>
          <w:sz w:val="24"/>
          <w:szCs w:val="24"/>
          <w:lang w:eastAsia="en-IE"/>
        </w:rPr>
      </w:pPr>
      <w:r w:rsidRPr="0072204B">
        <w:rPr>
          <w:rFonts w:ascii="Arial" w:eastAsia="Times New Roman" w:hAnsi="Arial" w:cs="Arial"/>
          <w:sz w:val="24"/>
          <w:szCs w:val="24"/>
          <w:lang w:eastAsia="en-IE"/>
        </w:rPr>
        <w:t>Cases of sexual abuse mainly come to light through disclosure by the child or his or her siblings/friends, from the suspicions of an adult, and/or by physical symptoms.</w:t>
      </w:r>
    </w:p>
    <w:p w:rsidR="0072204B" w:rsidRPr="0072204B" w:rsidRDefault="0072204B" w:rsidP="0072204B">
      <w:pPr>
        <w:shd w:val="clear" w:color="auto" w:fill="FFFFFF"/>
        <w:spacing w:after="300" w:line="352" w:lineRule="atLeast"/>
        <w:rPr>
          <w:rFonts w:ascii="Arial" w:eastAsia="Times New Roman" w:hAnsi="Arial" w:cs="Arial"/>
          <w:sz w:val="24"/>
          <w:szCs w:val="24"/>
          <w:lang w:eastAsia="en-IE"/>
        </w:rPr>
      </w:pPr>
      <w:r w:rsidRPr="0072204B">
        <w:rPr>
          <w:rFonts w:ascii="Arial" w:eastAsia="Times New Roman" w:hAnsi="Arial" w:cs="Arial"/>
          <w:sz w:val="24"/>
          <w:szCs w:val="24"/>
          <w:lang w:eastAsia="en-IE"/>
        </w:rPr>
        <w:t>Examples of child sexual abuse include the following:</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Any sexual act intentionally performed in the presence of a child</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An invitation to sexual touching or intentional touching or molesting of a child’s body whether by a person or object for the purpose of sexual arousal or gratification</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Masturbation in the presence of a child or the involvement of a child in an act of masturbation</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Sexual intercourse with a child, whether oral, vaginal or anal</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Sexual exploitation of a child, which includes:</w:t>
      </w:r>
    </w:p>
    <w:p w:rsidR="0072204B" w:rsidRPr="0072204B" w:rsidRDefault="0072204B" w:rsidP="0072204B">
      <w:pPr>
        <w:numPr>
          <w:ilvl w:val="1"/>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w:t>
      </w:r>
    </w:p>
    <w:p w:rsidR="0072204B" w:rsidRPr="0072204B" w:rsidRDefault="0072204B" w:rsidP="0072204B">
      <w:pPr>
        <w:numPr>
          <w:ilvl w:val="1"/>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Inviting, coercing or inducing a child to participate in, or to observe, any sexual, indecent or obscene act</w:t>
      </w:r>
    </w:p>
    <w:p w:rsidR="0072204B" w:rsidRPr="0072204B" w:rsidRDefault="0072204B" w:rsidP="0072204B">
      <w:pPr>
        <w:numPr>
          <w:ilvl w:val="1"/>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Showing sexually explicit material to children, which is often a feature of the ‘grooming’ process by perpetrators of abuse</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Exposing a child to inappropriate or abusive material through information and communication technology</w:t>
      </w:r>
    </w:p>
    <w:p w:rsidR="0072204B" w:rsidRPr="0072204B" w:rsidRDefault="0072204B" w:rsidP="0072204B">
      <w:pPr>
        <w:numPr>
          <w:ilvl w:val="0"/>
          <w:numId w:val="4"/>
        </w:numPr>
        <w:shd w:val="clear" w:color="auto" w:fill="FFFFFF"/>
        <w:spacing w:before="100" w:beforeAutospacing="1" w:after="75" w:line="352" w:lineRule="atLeast"/>
        <w:ind w:left="0"/>
        <w:rPr>
          <w:rFonts w:ascii="Arial" w:eastAsia="Times New Roman" w:hAnsi="Arial" w:cs="Arial"/>
          <w:sz w:val="24"/>
          <w:szCs w:val="24"/>
          <w:lang w:eastAsia="en-IE"/>
        </w:rPr>
      </w:pPr>
      <w:r w:rsidRPr="0072204B">
        <w:rPr>
          <w:rFonts w:ascii="Arial" w:eastAsia="Times New Roman" w:hAnsi="Arial" w:cs="Arial"/>
          <w:sz w:val="24"/>
          <w:szCs w:val="24"/>
          <w:lang w:eastAsia="en-IE"/>
        </w:rPr>
        <w:t>Consensual sexual activity involving an adult and an underage person</w:t>
      </w:r>
    </w:p>
    <w:p w:rsidR="0072204B" w:rsidRPr="0072204B" w:rsidRDefault="0072204B" w:rsidP="0072204B">
      <w:pPr>
        <w:shd w:val="clear" w:color="auto" w:fill="FFFFFF"/>
        <w:spacing w:after="300" w:line="352" w:lineRule="atLeast"/>
        <w:rPr>
          <w:rFonts w:eastAsia="Times New Roman" w:cstheme="minorHAnsi"/>
          <w:sz w:val="24"/>
          <w:szCs w:val="24"/>
          <w:lang w:eastAsia="en-IE"/>
        </w:rPr>
      </w:pPr>
      <w:proofErr w:type="gramStart"/>
      <w:r w:rsidRPr="0072204B">
        <w:rPr>
          <w:rFonts w:ascii="Arial" w:eastAsia="Times New Roman" w:hAnsi="Arial" w:cs="Arial"/>
          <w:sz w:val="24"/>
          <w:szCs w:val="24"/>
          <w:lang w:eastAsia="en-IE"/>
        </w:rPr>
        <w:t>An</w:t>
      </w:r>
      <w:proofErr w:type="gramEnd"/>
      <w:r w:rsidRPr="0072204B">
        <w:rPr>
          <w:rFonts w:ascii="Arial" w:eastAsia="Times New Roman" w:hAnsi="Arial" w:cs="Arial"/>
          <w:sz w:val="24"/>
          <w:szCs w:val="24"/>
          <w:lang w:eastAsia="en-IE"/>
        </w:rPr>
        <w:t xml:space="preserve"> Garda Síochána will deal with any criminal aspects of a sexual abuse case under the relevant criminal justice legislation. The prosecution of a sexual offence against a </w:t>
      </w:r>
      <w:r w:rsidRPr="0072204B">
        <w:rPr>
          <w:rFonts w:ascii="Arial" w:eastAsia="Times New Roman" w:hAnsi="Arial" w:cs="Arial"/>
          <w:sz w:val="24"/>
          <w:szCs w:val="24"/>
          <w:lang w:eastAsia="en-IE"/>
        </w:rPr>
        <w:lastRenderedPageBreak/>
        <w:t>child will be considered within the wider objective of child welfare and protection. The safety of the child is paramount and at no stage should a child’s safety be compromised because of concern for the integrity of a criminal investigation</w:t>
      </w:r>
      <w:r w:rsidRPr="0072204B">
        <w:rPr>
          <w:rFonts w:eastAsia="Times New Roman" w:cstheme="minorHAnsi"/>
          <w:sz w:val="24"/>
          <w:szCs w:val="24"/>
          <w:lang w:eastAsia="en-IE"/>
        </w:rPr>
        <w:t>.</w:t>
      </w:r>
    </w:p>
    <w:p w:rsidR="0072204B" w:rsidRPr="0072204B" w:rsidRDefault="0072204B" w:rsidP="0072204B">
      <w:pPr>
        <w:shd w:val="clear" w:color="auto" w:fill="FFFFFF"/>
        <w:spacing w:after="300" w:line="352" w:lineRule="atLeast"/>
        <w:rPr>
          <w:rFonts w:ascii="Arial" w:eastAsia="Times New Roman" w:hAnsi="Arial" w:cs="Arial"/>
          <w:sz w:val="24"/>
          <w:szCs w:val="24"/>
          <w:lang w:eastAsia="en-IE"/>
        </w:rPr>
      </w:pPr>
      <w:r w:rsidRPr="0072204B">
        <w:rPr>
          <w:rFonts w:ascii="Arial" w:eastAsia="Times New Roman" w:hAnsi="Arial" w:cs="Arial"/>
          <w:sz w:val="24"/>
          <w:szCs w:val="24"/>
          <w:lang w:eastAsia="en-IE"/>
        </w:rPr>
        <w:t>In relation to child sexual abuse, it should be noted that in criminal law the age of consent to sexual intercourse is 17 years for both boys and girls. Any sexual relationship where one or both parties are under the age of 17 is illegal. However, it may not necessarily be regarded as child sexual abuse. Details on exemptions for mandated reporting of certain cases of underage consensual sexual activity can be found in Chapter 3 of </w:t>
      </w:r>
      <w:hyperlink r:id="rId5" w:history="1">
        <w:r w:rsidRPr="0072204B">
          <w:rPr>
            <w:rFonts w:ascii="Arial" w:eastAsia="Times New Roman" w:hAnsi="Arial" w:cs="Arial"/>
            <w:sz w:val="24"/>
            <w:szCs w:val="24"/>
            <w:u w:val="single"/>
            <w:lang w:eastAsia="en-IE"/>
          </w:rPr>
          <w:t>Children First: National Guidance for the Protection and Welfare of Children.</w:t>
        </w:r>
      </w:hyperlink>
      <w:r w:rsidRPr="0072204B">
        <w:rPr>
          <w:rFonts w:ascii="Arial" w:eastAsia="Times New Roman" w:hAnsi="Arial" w:cs="Arial"/>
          <w:sz w:val="24"/>
          <w:szCs w:val="24"/>
          <w:lang w:eastAsia="en-IE"/>
        </w:rPr>
        <w:t>             </w:t>
      </w:r>
    </w:p>
    <w:p w:rsidR="0072204B" w:rsidRPr="00246998" w:rsidRDefault="0072204B" w:rsidP="00246998">
      <w:pPr>
        <w:shd w:val="clear" w:color="auto" w:fill="FFFFFF"/>
        <w:spacing w:after="300" w:line="352" w:lineRule="atLeast"/>
        <w:rPr>
          <w:rFonts w:ascii="Chronicle SSm B" w:eastAsia="Times New Roman" w:hAnsi="Chronicle SSm B" w:cs="Times New Roman"/>
          <w:color w:val="4D4D4F"/>
          <w:sz w:val="23"/>
          <w:szCs w:val="23"/>
          <w:lang w:eastAsia="en-IE"/>
        </w:rPr>
      </w:pPr>
    </w:p>
    <w:sectPr w:rsidR="0072204B" w:rsidRPr="0024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ronicle SSm 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0A3"/>
    <w:multiLevelType w:val="multilevel"/>
    <w:tmpl w:val="10EA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77424"/>
    <w:multiLevelType w:val="multilevel"/>
    <w:tmpl w:val="C9BE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B1597"/>
    <w:multiLevelType w:val="multilevel"/>
    <w:tmpl w:val="E33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5218C8"/>
    <w:multiLevelType w:val="multilevel"/>
    <w:tmpl w:val="BFB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98"/>
    <w:rsid w:val="00012BE0"/>
    <w:rsid w:val="00246998"/>
    <w:rsid w:val="00286D72"/>
    <w:rsid w:val="00672AB2"/>
    <w:rsid w:val="00717544"/>
    <w:rsid w:val="0072204B"/>
    <w:rsid w:val="00B001C4"/>
    <w:rsid w:val="00B024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FC472-38DD-481F-B7EF-E82FFE75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699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699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24699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7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5865">
      <w:bodyDiv w:val="1"/>
      <w:marLeft w:val="0"/>
      <w:marRight w:val="0"/>
      <w:marTop w:val="0"/>
      <w:marBottom w:val="0"/>
      <w:divBdr>
        <w:top w:val="none" w:sz="0" w:space="0" w:color="auto"/>
        <w:left w:val="none" w:sz="0" w:space="0" w:color="auto"/>
        <w:bottom w:val="none" w:sz="0" w:space="0" w:color="auto"/>
        <w:right w:val="none" w:sz="0" w:space="0" w:color="auto"/>
      </w:divBdr>
    </w:div>
    <w:div w:id="648750178">
      <w:bodyDiv w:val="1"/>
      <w:marLeft w:val="0"/>
      <w:marRight w:val="0"/>
      <w:marTop w:val="0"/>
      <w:marBottom w:val="0"/>
      <w:divBdr>
        <w:top w:val="none" w:sz="0" w:space="0" w:color="auto"/>
        <w:left w:val="none" w:sz="0" w:space="0" w:color="auto"/>
        <w:bottom w:val="none" w:sz="0" w:space="0" w:color="auto"/>
        <w:right w:val="none" w:sz="0" w:space="0" w:color="auto"/>
      </w:divBdr>
    </w:div>
    <w:div w:id="703334609">
      <w:bodyDiv w:val="1"/>
      <w:marLeft w:val="0"/>
      <w:marRight w:val="0"/>
      <w:marTop w:val="0"/>
      <w:marBottom w:val="0"/>
      <w:divBdr>
        <w:top w:val="none" w:sz="0" w:space="0" w:color="auto"/>
        <w:left w:val="none" w:sz="0" w:space="0" w:color="auto"/>
        <w:bottom w:val="none" w:sz="0" w:space="0" w:color="auto"/>
        <w:right w:val="none" w:sz="0" w:space="0" w:color="auto"/>
      </w:divBdr>
    </w:div>
    <w:div w:id="715392396">
      <w:bodyDiv w:val="1"/>
      <w:marLeft w:val="0"/>
      <w:marRight w:val="0"/>
      <w:marTop w:val="0"/>
      <w:marBottom w:val="0"/>
      <w:divBdr>
        <w:top w:val="none" w:sz="0" w:space="0" w:color="auto"/>
        <w:left w:val="none" w:sz="0" w:space="0" w:color="auto"/>
        <w:bottom w:val="none" w:sz="0" w:space="0" w:color="auto"/>
        <w:right w:val="none" w:sz="0" w:space="0" w:color="auto"/>
      </w:divBdr>
    </w:div>
    <w:div w:id="7319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sla.ie/uploads/content/Children_First_National_Guidance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Nicholson</dc:creator>
  <cp:keywords/>
  <dc:description/>
  <cp:lastModifiedBy>Mary Nicholson</cp:lastModifiedBy>
  <cp:revision>2</cp:revision>
  <dcterms:created xsi:type="dcterms:W3CDTF">2018-05-18T14:24:00Z</dcterms:created>
  <dcterms:modified xsi:type="dcterms:W3CDTF">2018-05-18T14:24:00Z</dcterms:modified>
</cp:coreProperties>
</file>